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keepNext w:val="0"/>
        <w:keepLines w:val="0"/>
        <w:pageBreakBefore w:val="0"/>
        <w:widowControl w:val="0"/>
        <w:kinsoku/>
        <w:wordWrap/>
        <w:overflowPunct/>
        <w:topLinePunct w:val="0"/>
        <w:autoSpaceDE/>
        <w:autoSpaceDN/>
        <w:bidi w:val="0"/>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keepNext w:val="0"/>
        <w:keepLines w:val="0"/>
        <w:pageBreakBefore w:val="0"/>
        <w:widowControl w:val="0"/>
        <w:kinsoku/>
        <w:wordWrap/>
        <w:overflowPunct/>
        <w:topLinePunct w:val="0"/>
        <w:autoSpaceDE/>
        <w:autoSpaceDN/>
        <w:bidi w:val="0"/>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00" w:firstLineChars="200"/>
        <w:jc w:val="both"/>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00" w:firstLineChars="200"/>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val="en-US" w:eastAsia="zh-CN"/>
        </w:rPr>
        <w:t>教育督查经费项目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kern w:val="0"/>
          <w:sz w:val="32"/>
          <w:szCs w:val="32"/>
          <w:lang w:eastAsia="zh-CN"/>
        </w:rPr>
        <w:t>新疆维吾尔自治区喀什地区教育</w:t>
      </w:r>
      <w:r>
        <w:rPr>
          <w:rFonts w:hint="eastAsia" w:ascii="仿宋_GB2312" w:hAnsi="仿宋_GB2312" w:eastAsia="仿宋_GB2312" w:cs="仿宋_GB2312"/>
          <w:kern w:val="0"/>
          <w:sz w:val="32"/>
          <w:szCs w:val="32"/>
          <w:lang w:val="en-US" w:eastAsia="zh-CN"/>
        </w:rPr>
        <w:t>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自治区主管部门（公章）：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eastAsia="zh-CN"/>
        </w:rPr>
        <w:t>张</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w:t>
      </w:r>
      <w:r>
        <w:rPr>
          <w:rFonts w:hint="eastAsia" w:ascii="仿宋_GB2312" w:hAnsi="仿宋_GB2312" w:eastAsia="仿宋_GB2312" w:cs="仿宋_GB2312"/>
          <w:kern w:val="0"/>
          <w:sz w:val="32"/>
          <w:szCs w:val="32"/>
          <w:lang w:val="en-US" w:eastAsia="zh-CN"/>
        </w:rPr>
        <w:t>2018</w:t>
      </w:r>
      <w:r>
        <w:rPr>
          <w:rFonts w:hint="eastAsia" w:ascii="仿宋_GB2312" w:hAnsi="仿宋_GB2312" w:eastAsia="仿宋_GB2312" w:cs="仿宋_GB2312"/>
          <w:kern w:val="0"/>
          <w:sz w:val="32"/>
          <w:szCs w:val="32"/>
        </w:rPr>
        <w:t xml:space="preserve"> 年 </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 xml:space="preserve"> 月</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00" w:firstLineChars="200"/>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Style w:val="7"/>
          <w:rFonts w:hint="eastAsia" w:ascii="黑体" w:hAnsi="黑体" w:eastAsia="黑体" w:cs="黑体"/>
          <w:b/>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Style w:val="7"/>
          <w:rFonts w:hint="eastAsia" w:ascii="黑体" w:hAnsi="黑体" w:eastAsia="黑体" w:cs="黑体"/>
          <w:b/>
          <w:bCs w:val="0"/>
          <w:spacing w:val="-4"/>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outlineLvl w:val="0"/>
        <w:rPr>
          <w:rStyle w:val="7"/>
          <w:rFonts w:hint="eastAsia" w:ascii="黑体" w:hAnsi="黑体" w:eastAsia="黑体" w:cs="黑体"/>
          <w:b w:val="0"/>
          <w:bCs/>
          <w:spacing w:val="-4"/>
          <w:sz w:val="32"/>
          <w:szCs w:val="32"/>
          <w:lang w:val="en-US" w:eastAsia="zh-CN"/>
        </w:rPr>
      </w:pPr>
      <w:r>
        <w:rPr>
          <w:rStyle w:val="7"/>
          <w:rFonts w:hint="eastAsia" w:ascii="黑体" w:hAnsi="黑体" w:eastAsia="黑体" w:cs="黑体"/>
          <w:b w:val="0"/>
          <w:bCs/>
          <w:spacing w:val="-4"/>
          <w:sz w:val="32"/>
          <w:szCs w:val="32"/>
          <w:lang w:val="en-US" w:eastAsia="zh-CN"/>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val="0"/>
          <w:bCs/>
          <w:spacing w:val="-4"/>
          <w:sz w:val="32"/>
          <w:szCs w:val="32"/>
        </w:rPr>
      </w:pPr>
      <w:r>
        <w:rPr>
          <w:rStyle w:val="7"/>
          <w:rFonts w:hint="eastAsia" w:ascii="楷体" w:hAnsi="楷体" w:eastAsia="楷体" w:cs="楷体"/>
          <w:b/>
          <w:bCs w:val="0"/>
          <w:spacing w:val="-4"/>
          <w:sz w:val="32"/>
          <w:szCs w:val="32"/>
        </w:rPr>
        <w:t>（一）项目单位基本情况</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行署教育督导室承担着对全地区各县市、各级各类学校的教育督导督查工作。年初以来，行署教育督导室充分履行督政督学工作职责，依法对各级政府履行教育职责情况进行督导，对各级各类学校教育教学情况进行督查，督促各级政府充分履行教育职责，指导各类学校不断规范办学行为，办好人民满意的高质量教育。</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2018年，地区财政局下拨行署教育督导室教育督查专项经费50万元，行署教育督导室认真落实关于加强项目资金绩效管理工作的要求，严格按照年初预算管理资金，按照地区教育局差旅费管理和使用办法，厉行勤俭节约，精打细算使用资金，确保“好钢用在刀刃上”，着力提升项目资金管理使用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黑体" w:hAnsi="黑体" w:eastAsia="黑体" w:cs="黑体"/>
          <w:b/>
          <w:bCs w:val="0"/>
          <w:spacing w:val="-4"/>
          <w:sz w:val="32"/>
          <w:szCs w:val="32"/>
        </w:rPr>
      </w:pPr>
      <w:r>
        <w:rPr>
          <w:rStyle w:val="7"/>
          <w:rFonts w:hint="eastAsia" w:ascii="楷体" w:hAnsi="楷体" w:eastAsia="楷体" w:cs="楷体"/>
          <w:b/>
          <w:bCs w:val="0"/>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Fonts w:hint="eastAsia" w:ascii="仿宋" w:hAnsi="仿宋" w:eastAsia="仿宋" w:cs="仿宋"/>
          <w:b/>
          <w:bCs w:val="0"/>
          <w:spacing w:val="-4"/>
          <w:sz w:val="32"/>
          <w:szCs w:val="32"/>
        </w:rPr>
      </w:pPr>
      <w:r>
        <w:rPr>
          <w:rFonts w:hint="eastAsia" w:ascii="仿宋" w:hAnsi="仿宋" w:eastAsia="仿宋" w:cs="仿宋"/>
          <w:b/>
          <w:bCs w:val="0"/>
          <w:spacing w:val="-4"/>
          <w:sz w:val="32"/>
          <w:szCs w:val="32"/>
        </w:rPr>
        <w:t>1、项目预期目标及阶段性目标</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行署教育督导室充分履行督政、督学、评估监测工作职责，依托行署教育督查经费，对各级政府履行教育职责情况进行督导，对各级各类学校教育教学情况进行督查，督促各级政府充分履行教育职责，指导各类学校不断规范办学行为，办好人民满意的高质量教育。促进了各级政府统筹解决学生入学“乡村弱”和“城市挤”等各类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Fonts w:hint="eastAsia" w:ascii="仿宋" w:hAnsi="仿宋" w:eastAsia="仿宋" w:cs="仿宋"/>
          <w:b/>
          <w:bCs w:val="0"/>
          <w:spacing w:val="-4"/>
          <w:sz w:val="32"/>
          <w:szCs w:val="32"/>
        </w:rPr>
      </w:pPr>
      <w:r>
        <w:rPr>
          <w:rFonts w:hint="eastAsia" w:ascii="仿宋" w:hAnsi="仿宋" w:eastAsia="仿宋" w:cs="仿宋"/>
          <w:b/>
          <w:bCs w:val="0"/>
          <w:spacing w:val="-4"/>
          <w:sz w:val="32"/>
          <w:szCs w:val="32"/>
        </w:rPr>
        <w:t>2、项目基本性质</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本项目性质为延续项目</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Fonts w:hint="eastAsia" w:ascii="仿宋" w:hAnsi="仿宋" w:eastAsia="仿宋" w:cs="仿宋"/>
          <w:b/>
          <w:bCs w:val="0"/>
          <w:spacing w:val="-4"/>
          <w:sz w:val="32"/>
          <w:szCs w:val="32"/>
        </w:rPr>
      </w:pPr>
      <w:r>
        <w:rPr>
          <w:rFonts w:hint="eastAsia" w:ascii="仿宋" w:hAnsi="仿宋" w:eastAsia="仿宋" w:cs="仿宋"/>
          <w:b/>
          <w:bCs w:val="0"/>
          <w:spacing w:val="-4"/>
          <w:sz w:val="32"/>
          <w:szCs w:val="32"/>
        </w:rPr>
        <w:t>3、项目用途及范围</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本项目为教育督导工作经费，主要用于行署教育督导室购买日常办公用品，更新维护办公设备，支付各项教育督导工作的住宿费、公车燃油费、过路费，以及支付开展教育督导业务培训相关费用。</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outlineLvl w:val="0"/>
        <w:rPr>
          <w:rStyle w:val="7"/>
          <w:rFonts w:hint="eastAsia" w:ascii="黑体" w:hAnsi="黑体" w:eastAsia="黑体" w:cs="黑体"/>
          <w:b w:val="0"/>
          <w:bCs/>
          <w:spacing w:val="-4"/>
          <w:sz w:val="32"/>
          <w:szCs w:val="32"/>
          <w:lang w:val="en-US" w:eastAsia="zh-CN"/>
        </w:rPr>
      </w:pPr>
      <w:r>
        <w:rPr>
          <w:rStyle w:val="7"/>
          <w:rFonts w:hint="eastAsia" w:ascii="黑体" w:hAnsi="黑体" w:eastAsia="黑体" w:cs="黑体"/>
          <w:b w:val="0"/>
          <w:bCs/>
          <w:spacing w:val="-4"/>
          <w:sz w:val="32"/>
          <w:szCs w:val="32"/>
          <w:lang w:val="en-US" w:eastAsia="zh-CN"/>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color w:val="FF0000"/>
          <w:spacing w:val="-4"/>
          <w:sz w:val="32"/>
          <w:szCs w:val="32"/>
        </w:rPr>
      </w:pPr>
      <w:r>
        <w:rPr>
          <w:rFonts w:hint="eastAsia" w:ascii="仿宋_GB2312" w:hAnsi="仿宋_GB2312" w:eastAsia="仿宋_GB2312" w:cs="仿宋_GB2312"/>
          <w:b w:val="0"/>
          <w:bCs/>
          <w:sz w:val="32"/>
          <w:szCs w:val="32"/>
          <w:lang w:val="en-US" w:eastAsia="zh-CN"/>
        </w:rPr>
        <w:t>行署教育督导室项目预算安排总额为50万元，其他资金50万元，2018年实际使用预算资金49.05万元。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黑体" w:hAnsi="黑体" w:eastAsia="黑体" w:cs="黑体"/>
          <w:b/>
          <w:bCs w:val="0"/>
          <w:spacing w:val="-4"/>
          <w:sz w:val="32"/>
          <w:szCs w:val="32"/>
        </w:rPr>
      </w:pPr>
      <w:r>
        <w:rPr>
          <w:rStyle w:val="7"/>
          <w:rFonts w:hint="eastAsia" w:ascii="黑体" w:hAnsi="黑体" w:eastAsia="黑体" w:cs="黑体"/>
          <w:b/>
          <w:bCs w:val="0"/>
          <w:spacing w:val="-4"/>
          <w:sz w:val="32"/>
          <w:szCs w:val="32"/>
        </w:rPr>
        <w:t>（</w:t>
      </w:r>
      <w:r>
        <w:rPr>
          <w:rStyle w:val="7"/>
          <w:rFonts w:hint="eastAsia" w:ascii="楷体" w:hAnsi="楷体" w:eastAsia="楷体" w:cs="楷体"/>
          <w:b/>
          <w:bCs w:val="0"/>
          <w:spacing w:val="-4"/>
          <w:sz w:val="32"/>
          <w:szCs w:val="32"/>
        </w:rPr>
        <w:t>二）项目资金实际使用情况分析</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本项目实际支付资金49.05万元，预算执行率98.1%。项目资金主要用于支付教育督导费用49.05万元。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rPr>
        <w:t>（三）项目资金管理情况分析</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本项目支出符合地区教育局相关财务管理制度，资金的拨付有完整的审批程序和手续，不存在截留、挤占、挪用等情况。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outlineLvl w:val="0"/>
        <w:rPr>
          <w:rStyle w:val="7"/>
          <w:rFonts w:hint="eastAsia" w:ascii="黑体" w:hAnsi="黑体" w:eastAsia="黑体" w:cs="黑体"/>
          <w:b w:val="0"/>
          <w:bCs/>
          <w:spacing w:val="-4"/>
          <w:sz w:val="32"/>
          <w:szCs w:val="32"/>
          <w:lang w:val="en-US" w:eastAsia="zh-CN"/>
        </w:rPr>
      </w:pPr>
      <w:r>
        <w:rPr>
          <w:rStyle w:val="7"/>
          <w:rFonts w:hint="eastAsia" w:ascii="黑体" w:hAnsi="黑体" w:eastAsia="黑体" w:cs="黑体"/>
          <w:b w:val="0"/>
          <w:bCs/>
          <w:spacing w:val="-4"/>
          <w:sz w:val="32"/>
          <w:szCs w:val="32"/>
          <w:lang w:val="en-US" w:eastAsia="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Style w:val="7"/>
          <w:rFonts w:hint="eastAsia" w:ascii="楷体" w:hAnsi="楷体" w:eastAsia="楷体" w:cs="楷体"/>
          <w:b/>
          <w:bCs w:val="0"/>
          <w:spacing w:val="-4"/>
          <w:sz w:val="32"/>
          <w:szCs w:val="32"/>
        </w:rPr>
      </w:pPr>
      <w:r>
        <w:rPr>
          <w:rStyle w:val="7"/>
          <w:rFonts w:hint="eastAsia" w:ascii="黑体" w:hAnsi="黑体" w:eastAsia="黑体" w:cs="黑体"/>
          <w:b/>
          <w:bCs w:val="0"/>
          <w:spacing w:val="-4"/>
          <w:sz w:val="32"/>
          <w:szCs w:val="32"/>
        </w:rPr>
        <w:t>（</w:t>
      </w:r>
      <w:r>
        <w:rPr>
          <w:rStyle w:val="7"/>
          <w:rFonts w:hint="eastAsia" w:ascii="楷体" w:hAnsi="楷体" w:eastAsia="楷体" w:cs="楷体"/>
          <w:b/>
          <w:bCs w:val="0"/>
          <w:spacing w:val="-4"/>
          <w:sz w:val="32"/>
          <w:szCs w:val="32"/>
        </w:rPr>
        <w:t>一）项目组织情况分析</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该项目属于经常性零星项目。实施过程均按照本单位制定的管理制度执行。</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本项目不存在调整情况。</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本项目不存在检查验收程序。</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rPr>
        <w:t>（二）项目管理情况分析</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项目实施过程中，地区教育局建立了保障项目的顺利实施的各项制度。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Style w:val="7"/>
          <w:rFonts w:hint="eastAsia" w:ascii="黑体" w:hAnsi="黑体" w:eastAsia="黑体" w:cs="黑体"/>
          <w:b/>
          <w:bCs w:val="0"/>
          <w:spacing w:val="-4"/>
          <w:sz w:val="32"/>
          <w:szCs w:val="32"/>
        </w:rPr>
      </w:pPr>
      <w:r>
        <w:rPr>
          <w:rStyle w:val="7"/>
          <w:rFonts w:hint="eastAsia" w:ascii="黑体" w:hAnsi="黑体" w:eastAsia="黑体" w:cs="黑体"/>
          <w:b/>
          <w:bCs w:val="0"/>
          <w:spacing w:val="-4"/>
          <w:sz w:val="32"/>
          <w:szCs w:val="32"/>
        </w:rPr>
        <w:t xml:space="preserve">四、项目绩效情况 </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rPr>
        <w:t>（一）项目绩效目标完成情况分析</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本项目共设置一级指标3个，二级指标9个，三级指标16个，其中已完成三级指标15个，指标完成率为93.75%。</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效率性：本项目2018年阶段督导工作已全部完成，资金支付率为100%；</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效益性：2018年督导各县市工作全部完成，</w:t>
      </w:r>
      <w:bookmarkStart w:id="0" w:name="_GoBack"/>
      <w:bookmarkEnd w:id="0"/>
      <w:r>
        <w:rPr>
          <w:rFonts w:hint="eastAsia" w:ascii="仿宋_GB2312" w:hAnsi="仿宋_GB2312" w:eastAsia="仿宋_GB2312" w:cs="仿宋_GB2312"/>
          <w:b w:val="0"/>
          <w:bCs/>
          <w:sz w:val="32"/>
          <w:szCs w:val="32"/>
          <w:lang w:val="en-US" w:eastAsia="zh-CN"/>
        </w:rPr>
        <w:t>加快各县市督导工作顺利完成，使义务教育均衡发展。</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rPr>
        <w:t>（二）项目绩效目标未完成原因分析</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2018年本项目绩效目标全部达成，不存在未完成情况。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outlineLvl w:val="0"/>
        <w:rPr>
          <w:rStyle w:val="7"/>
          <w:rFonts w:hint="eastAsia" w:ascii="黑体" w:hAnsi="黑体" w:eastAsia="黑体" w:cs="黑体"/>
          <w:b w:val="0"/>
          <w:bCs/>
          <w:spacing w:val="-4"/>
          <w:sz w:val="32"/>
          <w:szCs w:val="32"/>
          <w:lang w:val="en-US" w:eastAsia="zh-CN"/>
        </w:rPr>
      </w:pPr>
      <w:r>
        <w:rPr>
          <w:rStyle w:val="7"/>
          <w:rFonts w:hint="eastAsia" w:ascii="黑体" w:hAnsi="黑体" w:eastAsia="黑体" w:cs="黑体"/>
          <w:b w:val="0"/>
          <w:bCs/>
          <w:spacing w:val="-4"/>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rPr>
        <w:t>（一）后续工作计划</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 w:hAnsi="仿宋" w:eastAsia="仿宋" w:cs="仿宋"/>
          <w:b w:val="0"/>
          <w:bCs/>
          <w:sz w:val="32"/>
          <w:szCs w:val="32"/>
        </w:rPr>
      </w:pPr>
      <w:r>
        <w:rPr>
          <w:rFonts w:hint="eastAsia" w:ascii="仿宋_GB2312" w:hAnsi="仿宋_GB2312" w:eastAsia="仿宋_GB2312" w:cs="仿宋_GB2312"/>
          <w:b w:val="0"/>
          <w:bCs/>
          <w:sz w:val="32"/>
          <w:szCs w:val="32"/>
          <w:lang w:val="en-US" w:eastAsia="zh-CN"/>
        </w:rPr>
        <w:t>行署教育督导室将把教育督查项目资金预算绩效管理理念和方法深度融入到预算编制、执行和监督全过程，持续深入推进教育督查项目资金全过程绩效管理。</w:t>
      </w:r>
    </w:p>
    <w:p>
      <w:pPr>
        <w:keepNext w:val="0"/>
        <w:keepLines w:val="0"/>
        <w:pageBreakBefore w:val="0"/>
        <w:widowControl w:val="0"/>
        <w:kinsoku/>
        <w:wordWrap/>
        <w:overflowPunct/>
        <w:topLinePunct w:val="0"/>
        <w:autoSpaceDE/>
        <w:autoSpaceDN/>
        <w:bidi w:val="0"/>
        <w:spacing w:before="0" w:line="560" w:lineRule="exact"/>
        <w:ind w:firstLine="627" w:firstLineChars="200"/>
        <w:textAlignment w:val="auto"/>
        <w:rPr>
          <w:rFonts w:hint="eastAsia" w:ascii="楷体_GB2312" w:hAnsi="楷体_GB2312" w:eastAsia="楷体_GB2312" w:cs="楷体_GB2312"/>
          <w:b/>
          <w:bCs w:val="0"/>
          <w:spacing w:val="-4"/>
          <w:sz w:val="32"/>
          <w:szCs w:val="32"/>
          <w:lang w:val="en-US" w:eastAsia="zh-CN"/>
        </w:rPr>
      </w:pPr>
      <w:r>
        <w:rPr>
          <w:rFonts w:hint="eastAsia" w:ascii="楷体_GB2312" w:hAnsi="楷体_GB2312" w:eastAsia="楷体_GB2312" w:cs="楷体_GB2312"/>
          <w:b/>
          <w:bCs w:val="0"/>
          <w:spacing w:val="-4"/>
          <w:sz w:val="32"/>
          <w:szCs w:val="32"/>
          <w:lang w:val="en-US" w:eastAsia="zh-CN"/>
        </w:rPr>
        <w:t>1、抓好绩效目标总源头</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 w:hAnsi="仿宋" w:eastAsia="仿宋" w:cs="仿宋"/>
          <w:b w:val="0"/>
          <w:bCs/>
          <w:sz w:val="32"/>
          <w:szCs w:val="32"/>
        </w:rPr>
      </w:pPr>
      <w:r>
        <w:rPr>
          <w:rFonts w:hint="eastAsia" w:ascii="仿宋_GB2312" w:hAnsi="仿宋_GB2312" w:eastAsia="仿宋_GB2312" w:cs="仿宋_GB2312"/>
          <w:b w:val="0"/>
          <w:bCs/>
          <w:sz w:val="32"/>
          <w:szCs w:val="32"/>
          <w:lang w:val="en-US" w:eastAsia="zh-CN"/>
        </w:rPr>
        <w:t>根据教育督导工作实际需要，结合项目资金绩效目标管理要求，科学安排工作计划，进一步提升资金使用效益。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Fonts w:hint="eastAsia" w:ascii="仿宋" w:hAnsi="仿宋" w:eastAsia="仿宋" w:cs="仿宋"/>
          <w:b/>
          <w:bCs w:val="0"/>
          <w:spacing w:val="-4"/>
          <w:sz w:val="32"/>
          <w:szCs w:val="32"/>
          <w:lang w:val="en-US" w:eastAsia="zh-CN"/>
        </w:rPr>
      </w:pPr>
      <w:r>
        <w:rPr>
          <w:rFonts w:hint="eastAsia" w:ascii="仿宋" w:hAnsi="仿宋" w:eastAsia="仿宋" w:cs="仿宋"/>
          <w:b/>
          <w:bCs w:val="0"/>
          <w:spacing w:val="-4"/>
          <w:sz w:val="32"/>
          <w:szCs w:val="32"/>
          <w:lang w:val="en-US" w:eastAsia="zh-CN"/>
        </w:rPr>
        <w:t>2</w:t>
      </w:r>
      <w:r>
        <w:rPr>
          <w:rFonts w:hint="eastAsia" w:ascii="楷体_GB2312" w:hAnsi="楷体_GB2312" w:eastAsia="楷体_GB2312" w:cs="楷体_GB2312"/>
          <w:b/>
          <w:bCs w:val="0"/>
          <w:spacing w:val="-4"/>
          <w:sz w:val="32"/>
          <w:szCs w:val="32"/>
          <w:lang w:val="en-US" w:eastAsia="zh-CN"/>
        </w:rPr>
        <w:t>、加强绩效执行监控</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加强对项目资金使用管理，严格按照差旅费使用和管理办法管理使用资金。资金使用要厉行勤俭节约，确保项目资金每一分钱花的值，花的有效益。</w:t>
      </w:r>
    </w:p>
    <w:p>
      <w:pPr>
        <w:keepNext w:val="0"/>
        <w:keepLines w:val="0"/>
        <w:pageBreakBefore w:val="0"/>
        <w:widowControl w:val="0"/>
        <w:kinsoku/>
        <w:wordWrap/>
        <w:overflowPunct/>
        <w:topLinePunct w:val="0"/>
        <w:autoSpaceDE/>
        <w:autoSpaceDN/>
        <w:bidi w:val="0"/>
        <w:spacing w:before="0" w:line="560" w:lineRule="exact"/>
        <w:ind w:firstLine="627" w:firstLineChars="200"/>
        <w:textAlignment w:val="auto"/>
        <w:rPr>
          <w:rFonts w:hint="eastAsia" w:ascii="楷体_GB2312" w:hAnsi="楷体_GB2312" w:eastAsia="楷体_GB2312" w:cs="楷体_GB2312"/>
          <w:b w:val="0"/>
          <w:bCs/>
          <w:sz w:val="32"/>
          <w:szCs w:val="32"/>
        </w:rPr>
      </w:pPr>
      <w:r>
        <w:rPr>
          <w:rFonts w:hint="eastAsia" w:ascii="仿宋" w:hAnsi="仿宋" w:eastAsia="仿宋" w:cs="仿宋"/>
          <w:b/>
          <w:bCs w:val="0"/>
          <w:spacing w:val="-4"/>
          <w:sz w:val="32"/>
          <w:szCs w:val="32"/>
          <w:lang w:val="en-US" w:eastAsia="zh-CN"/>
        </w:rPr>
        <w:t>3</w:t>
      </w:r>
      <w:r>
        <w:rPr>
          <w:rFonts w:hint="eastAsia" w:ascii="楷体_GB2312" w:hAnsi="楷体_GB2312" w:eastAsia="楷体_GB2312" w:cs="楷体_GB2312"/>
          <w:b/>
          <w:bCs w:val="0"/>
          <w:spacing w:val="-4"/>
          <w:sz w:val="32"/>
          <w:szCs w:val="32"/>
          <w:lang w:val="en-US" w:eastAsia="zh-CN"/>
        </w:rPr>
        <w:t>、完善扶贫项目绩效评价</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年度项目执行终了，综合工作完成情况开展综合绩效评价，分析项目资金管理和使用中的经验和问题，进一步完善资金使用管理制度，提高资金使用效益。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rPr>
      </w:pPr>
      <w:r>
        <w:rPr>
          <w:rStyle w:val="7"/>
          <w:rFonts w:hint="eastAsia" w:ascii="楷体" w:hAnsi="楷体" w:eastAsia="楷体" w:cs="楷体"/>
          <w:b/>
          <w:bCs w:val="0"/>
          <w:spacing w:val="-4"/>
          <w:sz w:val="32"/>
          <w:szCs w:val="32"/>
          <w:lang w:val="en-US" w:eastAsia="zh-CN"/>
        </w:rPr>
        <w:t>（二）主要经验及做法、存在问题和建议</w:t>
      </w:r>
    </w:p>
    <w:p>
      <w:pPr>
        <w:keepNext w:val="0"/>
        <w:keepLines w:val="0"/>
        <w:pageBreakBefore w:val="0"/>
        <w:widowControl w:val="0"/>
        <w:kinsoku/>
        <w:wordWrap/>
        <w:overflowPunct/>
        <w:topLinePunct w:val="0"/>
        <w:autoSpaceDE/>
        <w:autoSpaceDN/>
        <w:bidi w:val="0"/>
        <w:spacing w:before="0" w:line="560" w:lineRule="exact"/>
        <w:ind w:firstLine="627" w:firstLineChars="200"/>
        <w:textAlignment w:val="auto"/>
        <w:rPr>
          <w:rFonts w:hint="eastAsia" w:ascii="楷体_GB2312" w:hAnsi="楷体_GB2312" w:eastAsia="楷体_GB2312" w:cs="楷体_GB2312"/>
          <w:b/>
          <w:bCs w:val="0"/>
          <w:spacing w:val="-4"/>
          <w:sz w:val="32"/>
          <w:szCs w:val="32"/>
          <w:lang w:val="en-US" w:eastAsia="zh-CN"/>
        </w:rPr>
      </w:pPr>
      <w:r>
        <w:rPr>
          <w:rFonts w:hint="eastAsia" w:ascii="楷体_GB2312" w:hAnsi="楷体_GB2312" w:eastAsia="楷体_GB2312" w:cs="楷体_GB2312"/>
          <w:b/>
          <w:bCs w:val="0"/>
          <w:spacing w:val="-4"/>
          <w:sz w:val="32"/>
          <w:szCs w:val="32"/>
          <w:lang w:val="en-US" w:eastAsia="zh-CN"/>
        </w:rPr>
        <w:t>1、主要经验及做法建议:</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深入推进县域义务教育均衡发展，充分履行义务教育控辍保学督导检查职责，组织实施幼儿园冬季安全与条件保障专项督导，完成春季学期开学专项督查，完成秋季学期开学专项督查，开展加快中西部教育发展专项督导，完成沪喀督学高级研修班培训，开展城乡义务教育一体化改革发展专项督导，深入开展规范化办园专项督导，开展自治区对地区行政公署履行教育职责评价工作自查自评。</w:t>
      </w:r>
    </w:p>
    <w:p>
      <w:pPr>
        <w:keepNext w:val="0"/>
        <w:keepLines w:val="0"/>
        <w:pageBreakBefore w:val="0"/>
        <w:widowControl w:val="0"/>
        <w:kinsoku/>
        <w:wordWrap/>
        <w:overflowPunct/>
        <w:topLinePunct w:val="0"/>
        <w:autoSpaceDE/>
        <w:autoSpaceDN/>
        <w:bidi w:val="0"/>
        <w:spacing w:before="0" w:line="560" w:lineRule="exact"/>
        <w:ind w:firstLine="627" w:firstLineChars="200"/>
        <w:textAlignment w:val="auto"/>
        <w:rPr>
          <w:rFonts w:hint="eastAsia" w:ascii="楷体_GB2312" w:hAnsi="楷体_GB2312" w:eastAsia="楷体_GB2312" w:cs="楷体_GB2312"/>
          <w:b/>
          <w:bCs w:val="0"/>
          <w:spacing w:val="-4"/>
          <w:sz w:val="32"/>
          <w:szCs w:val="32"/>
          <w:lang w:val="en-US" w:eastAsia="zh-CN"/>
        </w:rPr>
      </w:pPr>
      <w:r>
        <w:rPr>
          <w:rFonts w:hint="eastAsia" w:ascii="楷体_GB2312" w:hAnsi="楷体_GB2312" w:eastAsia="楷体_GB2312" w:cs="楷体_GB2312"/>
          <w:b/>
          <w:bCs w:val="0"/>
          <w:spacing w:val="-4"/>
          <w:sz w:val="32"/>
          <w:szCs w:val="32"/>
          <w:lang w:val="en-US" w:eastAsia="zh-CN"/>
        </w:rPr>
        <w:t>2、存在问题：</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无</w:t>
      </w:r>
    </w:p>
    <w:p>
      <w:pPr>
        <w:keepNext w:val="0"/>
        <w:keepLines w:val="0"/>
        <w:pageBreakBefore w:val="0"/>
        <w:widowControl w:val="0"/>
        <w:kinsoku/>
        <w:wordWrap/>
        <w:overflowPunct/>
        <w:topLinePunct w:val="0"/>
        <w:autoSpaceDE/>
        <w:autoSpaceDN/>
        <w:bidi w:val="0"/>
        <w:spacing w:before="0" w:line="560" w:lineRule="exact"/>
        <w:ind w:firstLine="627" w:firstLineChars="200"/>
        <w:textAlignment w:val="auto"/>
        <w:rPr>
          <w:rFonts w:hint="eastAsia" w:ascii="楷体_GB2312" w:hAnsi="楷体_GB2312" w:eastAsia="楷体_GB2312" w:cs="楷体_GB2312"/>
          <w:b/>
          <w:bCs w:val="0"/>
          <w:spacing w:val="-4"/>
          <w:sz w:val="32"/>
          <w:szCs w:val="32"/>
          <w:lang w:val="en-US" w:eastAsia="zh-CN"/>
        </w:rPr>
      </w:pPr>
      <w:r>
        <w:rPr>
          <w:rFonts w:hint="eastAsia" w:ascii="楷体_GB2312" w:hAnsi="楷体_GB2312" w:eastAsia="楷体_GB2312" w:cs="楷体_GB2312"/>
          <w:b/>
          <w:bCs w:val="0"/>
          <w:spacing w:val="-4"/>
          <w:sz w:val="32"/>
          <w:szCs w:val="32"/>
          <w:lang w:val="en-US" w:eastAsia="zh-CN"/>
        </w:rPr>
        <w:t>3、建议：</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hint="eastAsia" w:ascii="楷体" w:hAnsi="楷体" w:eastAsia="楷体" w:cs="楷体"/>
          <w:b/>
          <w:bCs w:val="0"/>
          <w:spacing w:val="-4"/>
          <w:sz w:val="32"/>
          <w:szCs w:val="32"/>
          <w:lang w:val="en-US" w:eastAsia="zh-CN"/>
        </w:rPr>
      </w:pPr>
      <w:r>
        <w:rPr>
          <w:rStyle w:val="7"/>
          <w:rFonts w:hint="eastAsia" w:ascii="楷体" w:hAnsi="楷体" w:eastAsia="楷体" w:cs="楷体"/>
          <w:b/>
          <w:bCs w:val="0"/>
          <w:spacing w:val="-4"/>
          <w:sz w:val="32"/>
          <w:szCs w:val="32"/>
          <w:lang w:val="en-US" w:eastAsia="zh-CN"/>
        </w:rPr>
        <w:t>（三）其他</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无其他说明内容。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outlineLvl w:val="0"/>
        <w:rPr>
          <w:rFonts w:hint="eastAsia" w:ascii="仿宋" w:hAnsi="仿宋" w:eastAsia="仿宋" w:cs="仿宋"/>
          <w:b w:val="0"/>
          <w:bCs/>
          <w:spacing w:val="-4"/>
          <w:sz w:val="32"/>
          <w:szCs w:val="32"/>
        </w:rPr>
      </w:pPr>
      <w:r>
        <w:rPr>
          <w:rStyle w:val="7"/>
          <w:rFonts w:hint="eastAsia" w:ascii="黑体" w:hAnsi="黑体" w:eastAsia="黑体" w:cs="黑体"/>
          <w:b w:val="0"/>
          <w:bCs/>
          <w:spacing w:val="-4"/>
          <w:sz w:val="32"/>
          <w:szCs w:val="32"/>
          <w:lang w:val="en-US" w:eastAsia="zh-CN"/>
        </w:rPr>
        <w:t>六、项目评价工作情况</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次评价通过文件研读、实地调研、数据分析等方式，全面了解教育督导资金的使用效率和效果，项目管理过程规范，完成了预期绩效目标。同时，通过开展自我评价来总结经验和教训，为喀什地区教育督导今后的开展提供参考建议。</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7"/>
          <w:rFonts w:hint="eastAsia" w:ascii="仿宋_GB2312" w:hAnsi="仿宋_GB2312" w:eastAsia="仿宋_GB2312" w:cs="仿宋_GB2312"/>
          <w:b w:val="0"/>
          <w:bCs w:val="0"/>
          <w:spacing w:val="-4"/>
          <w:sz w:val="32"/>
          <w:szCs w:val="32"/>
        </w:rPr>
      </w:pPr>
      <w:r>
        <w:rPr>
          <w:rStyle w:val="7"/>
          <w:rFonts w:hint="eastAsia" w:ascii="黑体" w:hAnsi="黑体" w:eastAsia="黑体"/>
          <w:b w:val="0"/>
          <w:bCs/>
          <w:spacing w:val="-4"/>
          <w:sz w:val="32"/>
          <w:szCs w:val="32"/>
        </w:rPr>
        <w:t>七、附表</w:t>
      </w: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《项目支出绩效目标自评表》</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rPr>
          <w:rStyle w:val="7"/>
          <w:rFonts w:ascii="仿宋" w:hAnsi="仿宋" w:eastAsia="仿宋"/>
          <w:spacing w:val="-4"/>
          <w:sz w:val="32"/>
          <w:szCs w:val="32"/>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before="0" w:line="560" w:lineRule="exact"/>
        <w:ind w:firstLine="640" w:firstLineChars="200"/>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2114CA"/>
    <w:rsid w:val="0004795A"/>
    <w:rsid w:val="000C5616"/>
    <w:rsid w:val="000F3293"/>
    <w:rsid w:val="001D396C"/>
    <w:rsid w:val="00302F9D"/>
    <w:rsid w:val="003E4CEF"/>
    <w:rsid w:val="00552E80"/>
    <w:rsid w:val="008C2683"/>
    <w:rsid w:val="00902D3E"/>
    <w:rsid w:val="0090764C"/>
    <w:rsid w:val="00A650F9"/>
    <w:rsid w:val="00E57B14"/>
    <w:rsid w:val="00FA4E51"/>
    <w:rsid w:val="120C71D4"/>
    <w:rsid w:val="129C256F"/>
    <w:rsid w:val="12C048F2"/>
    <w:rsid w:val="136A3679"/>
    <w:rsid w:val="159840EC"/>
    <w:rsid w:val="18572B45"/>
    <w:rsid w:val="1BA600A8"/>
    <w:rsid w:val="202114CA"/>
    <w:rsid w:val="20897897"/>
    <w:rsid w:val="2A1E7239"/>
    <w:rsid w:val="2BF56C10"/>
    <w:rsid w:val="36A9246B"/>
    <w:rsid w:val="38D547B2"/>
    <w:rsid w:val="4426587C"/>
    <w:rsid w:val="4813067A"/>
    <w:rsid w:val="4A8841B5"/>
    <w:rsid w:val="580956EF"/>
    <w:rsid w:val="748B062C"/>
    <w:rsid w:val="74B64256"/>
    <w:rsid w:val="74DD3864"/>
    <w:rsid w:val="76B9125D"/>
    <w:rsid w:val="77EF1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136</Words>
  <Characters>776</Characters>
  <Lines>6</Lines>
  <Paragraphs>1</Paragraphs>
  <TotalTime>24</TotalTime>
  <ScaleCrop>false</ScaleCrop>
  <LinksUpToDate>false</LinksUpToDate>
  <CharactersWithSpaces>911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2018-04-10T02:41:00Z</dcterms:created>
  <dc:creator>雪云  ^_~</dc:creator>
  <cp:lastModifiedBy>菩提_薇薇安</cp:lastModifiedBy>
  <cp:lastPrinted>2018-12-23T10:32:00Z</cp:lastPrinted>
  <dcterms:modified xsi:type="dcterms:W3CDTF">2019-08-24T05:06:13Z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